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0" w:sz="12" w:val="single"/>
        </w:pBdr>
        <w:shd w:fill="ffffff" w:val="clear"/>
        <w:spacing w:after="0" w:before="120" w:line="240" w:lineRule="auto"/>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Free translation</w:t>
      </w:r>
    </w:p>
    <w:p w:rsidR="00000000" w:rsidDel="00000000" w:rsidP="00000000" w:rsidRDefault="00000000" w:rsidRPr="00000000" w14:paraId="00000002">
      <w:pPr>
        <w:pBdr>
          <w:bottom w:color="000000" w:space="0" w:sz="12" w:val="single"/>
        </w:pBdr>
        <w:shd w:fill="ffffff" w:val="clear"/>
        <w:spacing w:after="0" w:before="120" w:line="240" w:lineRule="auto"/>
        <w:jc w:val="both"/>
        <w:rPr>
          <w:rFonts w:ascii="Arial" w:cs="Arial" w:eastAsia="Arial" w:hAnsi="Arial"/>
          <w:b w:val="1"/>
          <w:color w:val="2f2f2f"/>
          <w:sz w:val="24"/>
          <w:szCs w:val="24"/>
        </w:rPr>
      </w:pPr>
      <w:r w:rsidDel="00000000" w:rsidR="00000000" w:rsidRPr="00000000">
        <w:rPr>
          <w:rtl w:val="0"/>
        </w:rPr>
      </w:r>
    </w:p>
    <w:p w:rsidR="00000000" w:rsidDel="00000000" w:rsidP="00000000" w:rsidRDefault="00000000" w:rsidRPr="00000000" w14:paraId="00000003">
      <w:pPr>
        <w:pBdr>
          <w:bottom w:color="000000" w:space="0" w:sz="12" w:val="single"/>
        </w:pBdr>
        <w:shd w:fill="ffffff" w:val="clear"/>
        <w:spacing w:after="0" w:before="120" w:line="240" w:lineRule="auto"/>
        <w:jc w:val="both"/>
        <w:rPr>
          <w:rFonts w:ascii="Arial" w:cs="Arial" w:eastAsia="Arial" w:hAnsi="Arial"/>
          <w:b w:val="1"/>
          <w:color w:val="2f2f2f"/>
          <w:sz w:val="24"/>
          <w:szCs w:val="24"/>
        </w:rPr>
      </w:pPr>
      <w:r w:rsidDel="00000000" w:rsidR="00000000" w:rsidRPr="00000000">
        <w:rPr>
          <w:rFonts w:ascii="Arial" w:cs="Arial" w:eastAsia="Arial" w:hAnsi="Arial"/>
          <w:b w:val="1"/>
          <w:color w:val="2f2f2f"/>
          <w:sz w:val="24"/>
          <w:szCs w:val="24"/>
          <w:rtl w:val="0"/>
        </w:rPr>
        <w:t xml:space="preserve">General Foreign Trade Rules for 2020</w:t>
      </w:r>
    </w:p>
    <w:p w:rsidR="00000000" w:rsidDel="00000000" w:rsidP="00000000" w:rsidRDefault="00000000" w:rsidRPr="00000000" w14:paraId="00000004">
      <w:pPr>
        <w:shd w:fill="ffffff" w:val="clear"/>
        <w:spacing w:after="101" w:line="240" w:lineRule="auto"/>
        <w:ind w:hanging="792"/>
        <w:jc w:val="both"/>
        <w:rPr>
          <w:rFonts w:ascii="Arial" w:cs="Arial" w:eastAsia="Arial" w:hAnsi="Arial"/>
          <w:b w:val="1"/>
          <w:color w:val="2f2f2f"/>
          <w:sz w:val="24"/>
          <w:szCs w:val="24"/>
          <w:highlight w:val="white"/>
        </w:rPr>
      </w:pPr>
      <w:r w:rsidDel="00000000" w:rsidR="00000000" w:rsidRPr="00000000">
        <w:rPr>
          <w:rtl w:val="0"/>
        </w:rPr>
      </w:r>
    </w:p>
    <w:p w:rsidR="00000000" w:rsidDel="00000000" w:rsidP="00000000" w:rsidRDefault="00000000" w:rsidRPr="00000000" w14:paraId="00000005">
      <w:pPr>
        <w:shd w:fill="ffffff" w:val="clear"/>
        <w:spacing w:after="101" w:line="240" w:lineRule="auto"/>
        <w:ind w:hanging="792"/>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highlight w:val="white"/>
          <w:rtl w:val="0"/>
        </w:rPr>
        <w:t xml:space="preserve">Official Gazette: </w:t>
      </w:r>
      <w:r w:rsidDel="00000000" w:rsidR="00000000" w:rsidRPr="00000000">
        <w:rPr>
          <w:rFonts w:ascii="Arial" w:cs="Arial" w:eastAsia="Arial" w:hAnsi="Arial"/>
          <w:b w:val="1"/>
          <w:color w:val="000000"/>
          <w:sz w:val="24"/>
          <w:szCs w:val="24"/>
          <w:highlight w:val="white"/>
          <w:rtl w:val="0"/>
        </w:rPr>
        <w:t xml:space="preserve">22/12/2020</w:t>
      </w:r>
      <w:r w:rsidDel="00000000" w:rsidR="00000000" w:rsidRPr="00000000">
        <w:rPr>
          <w:rtl w:val="0"/>
        </w:rPr>
      </w:r>
    </w:p>
    <w:p w:rsidR="00000000" w:rsidDel="00000000" w:rsidP="00000000" w:rsidRDefault="00000000" w:rsidRPr="00000000" w14:paraId="00000006">
      <w:pPr>
        <w:shd w:fill="ffffff" w:val="clear"/>
        <w:spacing w:after="101" w:line="240" w:lineRule="auto"/>
        <w:ind w:hanging="792"/>
        <w:jc w:val="both"/>
        <w:rPr>
          <w:rFonts w:ascii="Arial" w:cs="Arial" w:eastAsia="Arial" w:hAnsi="Arial"/>
          <w:b w:val="1"/>
          <w:color w:val="2f2f2f"/>
          <w:sz w:val="24"/>
          <w:szCs w:val="24"/>
        </w:rPr>
      </w:pPr>
      <w:r w:rsidDel="00000000" w:rsidR="00000000" w:rsidRPr="00000000">
        <w:rPr>
          <w:rtl w:val="0"/>
        </w:rPr>
      </w:r>
    </w:p>
    <w:p w:rsidR="00000000" w:rsidDel="00000000" w:rsidP="00000000" w:rsidRDefault="00000000" w:rsidRPr="00000000" w14:paraId="00000007">
      <w:pPr>
        <w:shd w:fill="ffffff" w:val="clear"/>
        <w:spacing w:after="101" w:line="240" w:lineRule="auto"/>
        <w:ind w:hanging="792"/>
        <w:jc w:val="both"/>
        <w:rPr>
          <w:rFonts w:ascii="Arial" w:cs="Arial" w:eastAsia="Arial" w:hAnsi="Arial"/>
          <w:b w:val="1"/>
          <w:color w:val="2f2f2f"/>
          <w:sz w:val="24"/>
          <w:szCs w:val="24"/>
        </w:rPr>
      </w:pPr>
      <w:r w:rsidDel="00000000" w:rsidR="00000000" w:rsidRPr="00000000">
        <w:rPr>
          <w:rFonts w:ascii="Arial" w:cs="Arial" w:eastAsia="Arial" w:hAnsi="Arial"/>
          <w:color w:val="2f2f2f"/>
          <w:sz w:val="24"/>
          <w:szCs w:val="24"/>
          <w:rtl w:val="0"/>
        </w:rPr>
        <w:t xml:space="preserve">        </w:t>
      </w:r>
      <w:r w:rsidDel="00000000" w:rsidR="00000000" w:rsidRPr="00000000">
        <w:rPr>
          <w:rFonts w:ascii="Arial" w:cs="Arial" w:eastAsia="Arial" w:hAnsi="Arial"/>
          <w:b w:val="1"/>
          <w:color w:val="2f2f2f"/>
          <w:sz w:val="24"/>
          <w:szCs w:val="24"/>
          <w:rtl w:val="0"/>
        </w:rPr>
        <w:t xml:space="preserve">   Transmission of information from the international freight forwarders by means of the Digital Window</w:t>
      </w:r>
    </w:p>
    <w:p w:rsidR="00000000" w:rsidDel="00000000" w:rsidP="00000000" w:rsidRDefault="00000000" w:rsidRPr="00000000" w14:paraId="00000008">
      <w:pPr>
        <w:shd w:fill="ffffff" w:val="clear"/>
        <w:spacing w:after="101" w:line="240" w:lineRule="auto"/>
        <w:ind w:hanging="792"/>
        <w:jc w:val="both"/>
        <w:rPr>
          <w:rFonts w:ascii="Arial" w:cs="Arial" w:eastAsia="Arial" w:hAnsi="Arial"/>
          <w:i w:val="1"/>
          <w:color w:val="2f2f2f"/>
          <w:sz w:val="24"/>
          <w:szCs w:val="24"/>
          <w:u w:val="single"/>
        </w:rPr>
      </w:pPr>
      <w:r w:rsidDel="00000000" w:rsidR="00000000" w:rsidRPr="00000000">
        <w:rPr>
          <w:rtl w:val="0"/>
        </w:rPr>
      </w:r>
    </w:p>
    <w:p w:rsidR="00000000" w:rsidDel="00000000" w:rsidP="00000000" w:rsidRDefault="00000000" w:rsidRPr="00000000" w14:paraId="00000009">
      <w:pPr>
        <w:shd w:fill="ffffff" w:val="clear"/>
        <w:spacing w:after="101" w:line="240" w:lineRule="auto"/>
        <w:ind w:left="426" w:hanging="993"/>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1.9.23.</w:t>
      </w:r>
      <w:r w:rsidDel="00000000" w:rsidR="00000000" w:rsidRPr="00000000">
        <w:rPr>
          <w:rFonts w:ascii="Arial" w:cs="Arial" w:eastAsia="Arial" w:hAnsi="Arial"/>
          <w:color w:val="2f2f2f"/>
          <w:sz w:val="24"/>
          <w:szCs w:val="24"/>
          <w:rtl w:val="0"/>
        </w:rPr>
        <w:t xml:space="preserve"> </w:t>
        <w:tab/>
        <w:t xml:space="preserve">For the effects of articles 6, 20, fractions III and VII, and 36-A, fraction I, subparagraph b) of the Law, the international freight forwarders or their authorized parties, in lieu of the transmission of information set forth in rule 1.9.9., may transmit to the Digital Window an electronic document with the information regarding the goods for which the service of maritime transportation was contracted.</w:t>
      </w:r>
    </w:p>
    <w:p w:rsidR="00000000" w:rsidDel="00000000" w:rsidP="00000000" w:rsidRDefault="00000000" w:rsidRPr="00000000" w14:paraId="0000000A">
      <w:pPr>
        <w:shd w:fill="ffffff" w:val="clear"/>
        <w:spacing w:after="101" w:line="240" w:lineRule="auto"/>
        <w:ind w:left="426" w:hanging="993"/>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0B">
      <w:pPr>
        <w:shd w:fill="ffffff" w:val="clear"/>
        <w:tabs>
          <w:tab w:val="left" w:pos="993"/>
        </w:tabs>
        <w:spacing w:after="101" w:line="240" w:lineRule="auto"/>
        <w:ind w:firstLine="426"/>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I.</w:t>
      </w:r>
      <w:r w:rsidDel="00000000" w:rsidR="00000000" w:rsidRPr="00000000">
        <w:rPr>
          <w:rFonts w:ascii="Arial" w:cs="Arial" w:eastAsia="Arial" w:hAnsi="Arial"/>
          <w:color w:val="2f2f2f"/>
          <w:sz w:val="24"/>
          <w:szCs w:val="24"/>
          <w:rtl w:val="0"/>
        </w:rPr>
        <w:t xml:space="preserve">       The electronic document referred to in these regulations, shall contain </w:t>
        <w:tab/>
        <w:t xml:space="preserve">the following data:</w:t>
      </w:r>
    </w:p>
    <w:p w:rsidR="00000000" w:rsidDel="00000000" w:rsidP="00000000" w:rsidRDefault="00000000" w:rsidRPr="00000000" w14:paraId="0000000C">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a)</w:t>
      </w:r>
      <w:r w:rsidDel="00000000" w:rsidR="00000000" w:rsidRPr="00000000">
        <w:rPr>
          <w:rFonts w:ascii="Arial" w:cs="Arial" w:eastAsia="Arial" w:hAnsi="Arial"/>
          <w:color w:val="2f2f2f"/>
          <w:sz w:val="24"/>
          <w:szCs w:val="24"/>
          <w:rtl w:val="0"/>
        </w:rPr>
        <w:t xml:space="preserve">     The CAAT referred to in rule 2.4.4., of the international freight forwarder. </w:t>
      </w:r>
    </w:p>
    <w:p w:rsidR="00000000" w:rsidDel="00000000" w:rsidP="00000000" w:rsidRDefault="00000000" w:rsidRPr="00000000" w14:paraId="0000000D">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b)</w:t>
      </w:r>
      <w:r w:rsidDel="00000000" w:rsidR="00000000" w:rsidRPr="00000000">
        <w:rPr>
          <w:rFonts w:ascii="Arial" w:cs="Arial" w:eastAsia="Arial" w:hAnsi="Arial"/>
          <w:color w:val="2f2f2f"/>
          <w:sz w:val="24"/>
          <w:szCs w:val="24"/>
          <w:rtl w:val="0"/>
        </w:rPr>
        <w:t xml:space="preserve">     The provisions in fraction I of the rule 1.9.22., except for the content of paragraph a) and m).</w:t>
      </w:r>
    </w:p>
    <w:p w:rsidR="00000000" w:rsidDel="00000000" w:rsidP="00000000" w:rsidRDefault="00000000" w:rsidRPr="00000000" w14:paraId="0000000E">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c)</w:t>
      </w:r>
      <w:r w:rsidDel="00000000" w:rsidR="00000000" w:rsidRPr="00000000">
        <w:rPr>
          <w:rFonts w:ascii="Arial" w:cs="Arial" w:eastAsia="Arial" w:hAnsi="Arial"/>
          <w:color w:val="2f2f2f"/>
          <w:sz w:val="24"/>
          <w:szCs w:val="24"/>
          <w:rtl w:val="0"/>
        </w:rPr>
        <w:t xml:space="preserve">     The CAAT of the person issuing the bill of lading.</w:t>
      </w:r>
    </w:p>
    <w:p w:rsidR="00000000" w:rsidDel="00000000" w:rsidP="00000000" w:rsidRDefault="00000000" w:rsidRPr="00000000" w14:paraId="0000000F">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d)</w:t>
      </w:r>
      <w:r w:rsidDel="00000000" w:rsidR="00000000" w:rsidRPr="00000000">
        <w:rPr>
          <w:rFonts w:ascii="Arial" w:cs="Arial" w:eastAsia="Arial" w:hAnsi="Arial"/>
          <w:color w:val="2f2f2f"/>
          <w:sz w:val="24"/>
          <w:szCs w:val="24"/>
          <w:rtl w:val="0"/>
        </w:rPr>
        <w:t xml:space="preserve">     Place of origin of the goods before being carried to the port of loading (place where the goods were shipped).</w:t>
      </w:r>
    </w:p>
    <w:p w:rsidR="00000000" w:rsidDel="00000000" w:rsidP="00000000" w:rsidRDefault="00000000" w:rsidRPr="00000000" w14:paraId="00000010">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e)</w:t>
      </w:r>
      <w:r w:rsidDel="00000000" w:rsidR="00000000" w:rsidRPr="00000000">
        <w:rPr>
          <w:rFonts w:ascii="Arial" w:cs="Arial" w:eastAsia="Arial" w:hAnsi="Arial"/>
          <w:color w:val="2f2f2f"/>
          <w:sz w:val="24"/>
          <w:szCs w:val="24"/>
          <w:rtl w:val="0"/>
        </w:rPr>
        <w:t xml:space="preserve">     Reference master or house bill of lading number, to which the house bill of lading will be added to.</w:t>
      </w:r>
    </w:p>
    <w:p w:rsidR="00000000" w:rsidDel="00000000" w:rsidP="00000000" w:rsidRDefault="00000000" w:rsidRPr="00000000" w14:paraId="00000011">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f)</w:t>
      </w:r>
      <w:r w:rsidDel="00000000" w:rsidR="00000000" w:rsidRPr="00000000">
        <w:rPr>
          <w:rFonts w:ascii="Arial" w:cs="Arial" w:eastAsia="Arial" w:hAnsi="Arial"/>
          <w:color w:val="2f2f2f"/>
          <w:sz w:val="24"/>
          <w:szCs w:val="24"/>
          <w:rtl w:val="0"/>
        </w:rPr>
        <w:t xml:space="preserve">      Number of house bill of lading.</w:t>
      </w:r>
    </w:p>
    <w:p w:rsidR="00000000" w:rsidDel="00000000" w:rsidP="00000000" w:rsidRDefault="00000000" w:rsidRPr="00000000" w14:paraId="00000012">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13">
      <w:pPr>
        <w:shd w:fill="ffffff" w:val="clear"/>
        <w:spacing w:after="101" w:line="240" w:lineRule="auto"/>
        <w:ind w:left="851" w:hanging="425"/>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II.</w:t>
      </w:r>
      <w:r w:rsidDel="00000000" w:rsidR="00000000" w:rsidRPr="00000000">
        <w:rPr>
          <w:rFonts w:ascii="Arial" w:cs="Arial" w:eastAsia="Arial" w:hAnsi="Arial"/>
          <w:color w:val="2f2f2f"/>
          <w:sz w:val="24"/>
          <w:szCs w:val="24"/>
          <w:rtl w:val="0"/>
        </w:rPr>
        <w:t xml:space="preserve"> The transmission of the electronic document, is subject to the following:</w:t>
      </w:r>
    </w:p>
    <w:p w:rsidR="00000000" w:rsidDel="00000000" w:rsidP="00000000" w:rsidRDefault="00000000" w:rsidRPr="00000000" w14:paraId="00000014">
      <w:pPr>
        <w:shd w:fill="ffffff" w:val="clear"/>
        <w:spacing w:after="101" w:line="240" w:lineRule="auto"/>
        <w:ind w:left="993" w:hanging="285"/>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a)</w:t>
      </w:r>
      <w:r w:rsidDel="00000000" w:rsidR="00000000" w:rsidRPr="00000000">
        <w:rPr>
          <w:rFonts w:ascii="Arial" w:cs="Arial" w:eastAsia="Arial" w:hAnsi="Arial"/>
          <w:color w:val="2f2f2f"/>
          <w:sz w:val="24"/>
          <w:szCs w:val="24"/>
          <w:rtl w:val="0"/>
        </w:rPr>
        <w:t xml:space="preserve">      In case of imports, it must be filed 24 hours after the vessel has sailed, except in case of the following operations, where the transmission can be filled until 24 hours prior to the arrival of the vessel in national territory: </w:t>
      </w:r>
    </w:p>
    <w:p w:rsidR="00000000" w:rsidDel="00000000" w:rsidP="00000000" w:rsidRDefault="00000000" w:rsidRPr="00000000" w14:paraId="00000015">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1.</w:t>
      </w:r>
      <w:r w:rsidDel="00000000" w:rsidR="00000000" w:rsidRPr="00000000">
        <w:rPr>
          <w:rFonts w:ascii="Arial" w:cs="Arial" w:eastAsia="Arial" w:hAnsi="Arial"/>
          <w:color w:val="2f2f2f"/>
          <w:sz w:val="24"/>
          <w:szCs w:val="24"/>
          <w:rtl w:val="0"/>
        </w:rPr>
        <w:t xml:space="preserve"> Bulk cargoes of the same kind set forth in rule 3.1.21., fraction II, subparagraph d).</w:t>
      </w:r>
    </w:p>
    <w:p w:rsidR="00000000" w:rsidDel="00000000" w:rsidP="00000000" w:rsidRDefault="00000000" w:rsidRPr="00000000" w14:paraId="00000016">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2. </w:t>
      </w:r>
      <w:r w:rsidDel="00000000" w:rsidR="00000000" w:rsidRPr="00000000">
        <w:rPr>
          <w:rFonts w:ascii="Arial" w:cs="Arial" w:eastAsia="Arial" w:hAnsi="Arial"/>
          <w:color w:val="2f2f2f"/>
          <w:sz w:val="24"/>
          <w:szCs w:val="24"/>
          <w:rtl w:val="0"/>
        </w:rPr>
        <w:t xml:space="preserve">Goods not transported in containers made by the finishing or manufacturing automotive industry of motor transport vehicles and the new vehicle trading companies identified by the Ministry of Economy.</w:t>
      </w:r>
    </w:p>
    <w:p w:rsidR="00000000" w:rsidDel="00000000" w:rsidP="00000000" w:rsidRDefault="00000000" w:rsidRPr="00000000" w14:paraId="00000017">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3. </w:t>
      </w:r>
      <w:r w:rsidDel="00000000" w:rsidR="00000000" w:rsidRPr="00000000">
        <w:rPr>
          <w:rFonts w:ascii="Arial" w:cs="Arial" w:eastAsia="Arial" w:hAnsi="Arial"/>
          <w:color w:val="2f2f2f"/>
          <w:sz w:val="24"/>
          <w:szCs w:val="24"/>
          <w:rtl w:val="0"/>
        </w:rPr>
        <w:t xml:space="preserve">Metal sheets and pipes and wire coils, as long as it is a uniform and homogenous cargo.</w:t>
      </w:r>
    </w:p>
    <w:p w:rsidR="00000000" w:rsidDel="00000000" w:rsidP="00000000" w:rsidRDefault="00000000" w:rsidRPr="00000000" w14:paraId="00000018">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4. </w:t>
      </w:r>
      <w:r w:rsidDel="00000000" w:rsidR="00000000" w:rsidRPr="00000000">
        <w:rPr>
          <w:rFonts w:ascii="Arial" w:cs="Arial" w:eastAsia="Arial" w:hAnsi="Arial"/>
          <w:color w:val="2f2f2f"/>
          <w:sz w:val="24"/>
          <w:szCs w:val="24"/>
          <w:rtl w:val="0"/>
        </w:rPr>
        <w:t xml:space="preserve">Breakbulk cargo that is not presented in containers, such as boxes, bags, sacks, and barrels.</w:t>
      </w:r>
    </w:p>
    <w:p w:rsidR="00000000" w:rsidDel="00000000" w:rsidP="00000000" w:rsidRDefault="00000000" w:rsidRPr="00000000" w14:paraId="00000019">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5. </w:t>
      </w:r>
      <w:r w:rsidDel="00000000" w:rsidR="00000000" w:rsidRPr="00000000">
        <w:rPr>
          <w:rFonts w:ascii="Arial" w:cs="Arial" w:eastAsia="Arial" w:hAnsi="Arial"/>
          <w:color w:val="2f2f2f"/>
          <w:sz w:val="24"/>
          <w:szCs w:val="24"/>
          <w:rtl w:val="0"/>
        </w:rPr>
        <w:t xml:space="preserve">Goods transported in rail vessel.</w:t>
      </w:r>
    </w:p>
    <w:p w:rsidR="00000000" w:rsidDel="00000000" w:rsidP="00000000" w:rsidRDefault="00000000" w:rsidRPr="00000000" w14:paraId="0000001A">
      <w:pPr>
        <w:shd w:fill="ffffff" w:val="clear"/>
        <w:spacing w:after="101" w:line="240" w:lineRule="auto"/>
        <w:ind w:firstLine="851"/>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6. </w:t>
      </w:r>
      <w:r w:rsidDel="00000000" w:rsidR="00000000" w:rsidRPr="00000000">
        <w:rPr>
          <w:rFonts w:ascii="Arial" w:cs="Arial" w:eastAsia="Arial" w:hAnsi="Arial"/>
          <w:color w:val="2f2f2f"/>
          <w:sz w:val="24"/>
          <w:szCs w:val="24"/>
          <w:rtl w:val="0"/>
        </w:rPr>
        <w:t xml:space="preserve">Empty containers.</w:t>
      </w:r>
    </w:p>
    <w:p w:rsidR="00000000" w:rsidDel="00000000" w:rsidP="00000000" w:rsidRDefault="00000000" w:rsidRPr="00000000" w14:paraId="0000001B">
      <w:pPr>
        <w:shd w:fill="ffffff" w:val="clear"/>
        <w:spacing w:after="101" w:line="240" w:lineRule="auto"/>
        <w:ind w:firstLine="851"/>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1C">
      <w:pPr>
        <w:shd w:fill="ffffff" w:val="clear"/>
        <w:spacing w:after="101" w:line="240" w:lineRule="auto"/>
        <w:ind w:left="993"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b)</w:t>
      </w:r>
      <w:r w:rsidDel="00000000" w:rsidR="00000000" w:rsidRPr="00000000">
        <w:rPr>
          <w:rFonts w:ascii="Arial" w:cs="Arial" w:eastAsia="Arial" w:hAnsi="Arial"/>
          <w:color w:val="2f2f2f"/>
          <w:sz w:val="24"/>
          <w:szCs w:val="24"/>
          <w:rtl w:val="0"/>
        </w:rPr>
        <w:t xml:space="preserve">      In case of exports, it shall be transmitted within 24 hours prior to the sailing time of the vessel.</w:t>
      </w:r>
    </w:p>
    <w:p w:rsidR="00000000" w:rsidDel="00000000" w:rsidP="00000000" w:rsidRDefault="00000000" w:rsidRPr="00000000" w14:paraId="0000001D">
      <w:pPr>
        <w:shd w:fill="ffffff" w:val="clear"/>
        <w:spacing w:after="101" w:line="240" w:lineRule="auto"/>
        <w:ind w:left="993"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c)   </w:t>
      </w:r>
      <w:r w:rsidDel="00000000" w:rsidR="00000000" w:rsidRPr="00000000">
        <w:rPr>
          <w:rFonts w:ascii="Arial" w:cs="Arial" w:eastAsia="Arial" w:hAnsi="Arial"/>
          <w:color w:val="2f2f2f"/>
          <w:sz w:val="24"/>
          <w:szCs w:val="24"/>
          <w:rtl w:val="0"/>
        </w:rPr>
        <w:t xml:space="preserve">Comply with the requirements and file format set forth in the "Guidelines containing the technological requirements for the transmission to the Digital Window of the transport document in maritime traffic" issued by the Customs General Administration, which can be reviewed in the SAT website. </w:t>
      </w:r>
    </w:p>
    <w:p w:rsidR="00000000" w:rsidDel="00000000" w:rsidP="00000000" w:rsidRDefault="00000000" w:rsidRPr="00000000" w14:paraId="0000001E">
      <w:pPr>
        <w:shd w:fill="ffffff" w:val="clear"/>
        <w:spacing w:after="101" w:line="240" w:lineRule="auto"/>
        <w:ind w:left="993"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d)</w:t>
      </w:r>
      <w:r w:rsidDel="00000000" w:rsidR="00000000" w:rsidRPr="00000000">
        <w:rPr>
          <w:rFonts w:ascii="Arial" w:cs="Arial" w:eastAsia="Arial" w:hAnsi="Arial"/>
          <w:color w:val="2f2f2f"/>
          <w:sz w:val="24"/>
          <w:szCs w:val="24"/>
          <w:rtl w:val="0"/>
        </w:rPr>
        <w:t xml:space="preserve">     Once the information is transmitted, the Digital Window will send to the international freight forwarder or its authorized parties, an electronic acknowledgement of validation.</w:t>
      </w:r>
    </w:p>
    <w:p w:rsidR="00000000" w:rsidDel="00000000" w:rsidP="00000000" w:rsidRDefault="00000000" w:rsidRPr="00000000" w14:paraId="0000001F">
      <w:pPr>
        <w:shd w:fill="ffffff" w:val="clear"/>
        <w:spacing w:after="101" w:line="240" w:lineRule="auto"/>
        <w:ind w:left="993" w:hanging="567"/>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e)</w:t>
      </w:r>
      <w:r w:rsidDel="00000000" w:rsidR="00000000" w:rsidRPr="00000000">
        <w:rPr>
          <w:rFonts w:ascii="Arial" w:cs="Arial" w:eastAsia="Arial" w:hAnsi="Arial"/>
          <w:color w:val="2f2f2f"/>
          <w:sz w:val="24"/>
          <w:szCs w:val="24"/>
          <w:rtl w:val="0"/>
        </w:rPr>
        <w:t xml:space="preserve">      The amendment of the data will be made as needed pursuant to the following:</w:t>
      </w:r>
    </w:p>
    <w:p w:rsidR="00000000" w:rsidDel="00000000" w:rsidP="00000000" w:rsidRDefault="00000000" w:rsidRPr="00000000" w14:paraId="00000020">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1.</w:t>
      </w:r>
      <w:r w:rsidDel="00000000" w:rsidR="00000000" w:rsidRPr="00000000">
        <w:rPr>
          <w:rFonts w:ascii="Arial" w:cs="Arial" w:eastAsia="Arial" w:hAnsi="Arial"/>
          <w:color w:val="2f2f2f"/>
          <w:sz w:val="24"/>
          <w:szCs w:val="24"/>
          <w:rtl w:val="0"/>
        </w:rPr>
        <w:t xml:space="preserve"> In case of imports, until right before the importersubmits the goods for clearanceand the automated selection mechanism is activated, by means of their customs forwarder or credited legal representative.</w:t>
      </w:r>
    </w:p>
    <w:p w:rsidR="00000000" w:rsidDel="00000000" w:rsidP="00000000" w:rsidRDefault="00000000" w:rsidRPr="00000000" w14:paraId="00000021">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In case of bulk cargo, the amendment of gross weight will proceed even after the activation of the automated selection mechanism.</w:t>
      </w:r>
    </w:p>
    <w:p w:rsidR="00000000" w:rsidDel="00000000" w:rsidP="00000000" w:rsidRDefault="00000000" w:rsidRPr="00000000" w14:paraId="00000022">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Fonts w:ascii="Arial" w:cs="Arial" w:eastAsia="Arial" w:hAnsi="Arial"/>
          <w:b w:val="1"/>
          <w:color w:val="2f2f2f"/>
          <w:sz w:val="24"/>
          <w:szCs w:val="24"/>
          <w:rtl w:val="0"/>
        </w:rPr>
        <w:t xml:space="preserve">2.</w:t>
      </w:r>
      <w:r w:rsidDel="00000000" w:rsidR="00000000" w:rsidRPr="00000000">
        <w:rPr>
          <w:rFonts w:ascii="Arial" w:cs="Arial" w:eastAsia="Arial" w:hAnsi="Arial"/>
          <w:color w:val="2f2f2f"/>
          <w:sz w:val="24"/>
          <w:szCs w:val="24"/>
          <w:rtl w:val="0"/>
        </w:rPr>
        <w:t xml:space="preserve"> In case of exports, the data electronically transmitted can be modified before sailing or when the customs clearance application has been amended, pursuant to article 89 of the Law.</w:t>
      </w:r>
    </w:p>
    <w:p w:rsidR="00000000" w:rsidDel="00000000" w:rsidP="00000000" w:rsidRDefault="00000000" w:rsidRPr="00000000" w14:paraId="00000023">
      <w:pPr>
        <w:shd w:fill="ffffff" w:val="clear"/>
        <w:spacing w:after="101" w:line="240" w:lineRule="auto"/>
        <w:ind w:left="851" w:firstLine="0"/>
        <w:jc w:val="both"/>
        <w:rPr>
          <w:rFonts w:ascii="Arial" w:cs="Arial" w:eastAsia="Arial" w:hAnsi="Arial"/>
          <w:color w:val="2f2f2f"/>
          <w:sz w:val="24"/>
          <w:szCs w:val="24"/>
        </w:rPr>
      </w:pPr>
      <w:r w:rsidDel="00000000" w:rsidR="00000000" w:rsidRPr="00000000">
        <w:rPr>
          <w:rtl w:val="0"/>
        </w:rPr>
      </w:r>
    </w:p>
    <w:p w:rsidR="00000000" w:rsidDel="00000000" w:rsidP="00000000" w:rsidRDefault="00000000" w:rsidRPr="00000000" w14:paraId="00000024">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Once the Digital Window sends the acceptance message to the international freight forwarders or their authorized parties, the number of the corresponding transportation document (bill of lading) must be stated in the customs clearance application.</w:t>
      </w:r>
    </w:p>
    <w:p w:rsidR="00000000" w:rsidDel="00000000" w:rsidP="00000000" w:rsidRDefault="00000000" w:rsidRPr="00000000" w14:paraId="00000025">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For the effects of these regulations, in case of </w:t>
      </w:r>
      <w:r w:rsidDel="00000000" w:rsidR="00000000" w:rsidRPr="00000000">
        <w:rPr>
          <w:rFonts w:ascii="Avenir" w:cs="Avenir" w:eastAsia="Avenir" w:hAnsi="Avenir"/>
          <w:i w:val="1"/>
          <w:color w:val="888888"/>
          <w:sz w:val="18"/>
          <w:szCs w:val="18"/>
          <w:highlight w:val="white"/>
          <w:rtl w:val="0"/>
        </w:rPr>
        <w:t xml:space="preserve"> </w:t>
      </w:r>
      <w:hyperlink r:id="rId7">
        <w:r w:rsidDel="00000000" w:rsidR="00000000" w:rsidRPr="00000000">
          <w:rPr>
            <w:rFonts w:ascii="Arial" w:cs="Arial" w:eastAsia="Arial" w:hAnsi="Arial"/>
            <w:color w:val="333333"/>
            <w:sz w:val="24"/>
            <w:szCs w:val="24"/>
            <w:rtl w:val="0"/>
          </w:rPr>
          <w:t xml:space="preserve">fortuitous event</w:t>
        </w:r>
      </w:hyperlink>
      <w:r w:rsidDel="00000000" w:rsidR="00000000" w:rsidRPr="00000000">
        <w:rPr>
          <w:rtl w:val="0"/>
        </w:rPr>
        <w:t xml:space="preserve"> </w:t>
      </w:r>
      <w:r w:rsidDel="00000000" w:rsidR="00000000" w:rsidRPr="00000000">
        <w:rPr>
          <w:rFonts w:ascii="Arial" w:cs="Arial" w:eastAsia="Arial" w:hAnsi="Arial"/>
          <w:color w:val="2f2f2f"/>
          <w:sz w:val="24"/>
          <w:szCs w:val="24"/>
          <w:rtl w:val="0"/>
        </w:rPr>
        <w:t xml:space="preserve">or force majeure that make the transmission impossible, the provisions of the Contingency Program for the Digital Window shall apply, which can be reviewed in the SAT website.</w:t>
      </w:r>
    </w:p>
    <w:p w:rsidR="00000000" w:rsidDel="00000000" w:rsidP="00000000" w:rsidRDefault="00000000" w:rsidRPr="00000000" w14:paraId="00000026">
      <w:pPr>
        <w:shd w:fill="ffffff" w:val="clear"/>
        <w:spacing w:after="101" w:line="240" w:lineRule="auto"/>
        <w:ind w:left="-567" w:firstLine="0"/>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The international freight forwarders or their authorized parties shall make the transmission referred to in these regulations, to the Digital Window, as the information technology systems for each Customs of the country are gradually enabled, which will be made known in the SAT website.</w:t>
      </w:r>
    </w:p>
    <w:p w:rsidR="00000000" w:rsidDel="00000000" w:rsidP="00000000" w:rsidRDefault="00000000" w:rsidRPr="00000000" w14:paraId="00000027">
      <w:pPr>
        <w:shd w:fill="ffffff" w:val="clear"/>
        <w:spacing w:after="101" w:line="240" w:lineRule="auto"/>
        <w:ind w:left="-567" w:firstLine="0"/>
        <w:jc w:val="both"/>
        <w:rPr>
          <w:rFonts w:ascii="Arial" w:cs="Arial" w:eastAsia="Arial" w:hAnsi="Arial"/>
          <w:i w:val="1"/>
          <w:color w:val="2f2f2f"/>
          <w:sz w:val="24"/>
          <w:szCs w:val="24"/>
        </w:rPr>
      </w:pPr>
      <w:r w:rsidDel="00000000" w:rsidR="00000000" w:rsidRPr="00000000">
        <w:rPr>
          <w:rFonts w:ascii="Arial" w:cs="Arial" w:eastAsia="Arial" w:hAnsi="Arial"/>
          <w:color w:val="2f2f2f"/>
          <w:sz w:val="24"/>
          <w:szCs w:val="24"/>
          <w:rtl w:val="0"/>
        </w:rPr>
        <w:t xml:space="preserve"> </w:t>
      </w:r>
      <w:r w:rsidDel="00000000" w:rsidR="00000000" w:rsidRPr="00000000">
        <w:rPr>
          <w:rFonts w:ascii="Arial" w:cs="Arial" w:eastAsia="Arial" w:hAnsi="Arial"/>
          <w:i w:val="1"/>
          <w:color w:val="2f2f2f"/>
          <w:sz w:val="24"/>
          <w:szCs w:val="24"/>
          <w:rtl w:val="0"/>
        </w:rPr>
        <w:t xml:space="preserve">Law 6, 20-III, VII, 36-A-I, 89, Regulations 19, RGCE1.9.9., 1.9.22., 2.4.4., 3.1.21.</w:t>
      </w:r>
    </w:p>
    <w:p w:rsidR="00000000" w:rsidDel="00000000" w:rsidP="00000000" w:rsidRDefault="00000000" w:rsidRPr="00000000" w14:paraId="00000028">
      <w:pPr>
        <w:shd w:fill="ffffff" w:val="clear"/>
        <w:spacing w:after="101" w:line="240" w:lineRule="auto"/>
        <w:ind w:hanging="540"/>
        <w:jc w:val="both"/>
        <w:rPr>
          <w:rFonts w:ascii="Arial" w:cs="Arial" w:eastAsia="Arial" w:hAnsi="Arial"/>
          <w:i w:val="1"/>
          <w:color w:val="2f2f2f"/>
          <w:sz w:val="24"/>
          <w:szCs w:val="24"/>
        </w:rPr>
      </w:pPr>
      <w:r w:rsidDel="00000000" w:rsidR="00000000" w:rsidRPr="00000000">
        <w:rPr>
          <w:rtl w:val="0"/>
        </w:rPr>
      </w:r>
    </w:p>
    <w:p w:rsidR="00000000" w:rsidDel="00000000" w:rsidP="00000000" w:rsidRDefault="00000000" w:rsidRPr="00000000" w14:paraId="00000029">
      <w:pPr>
        <w:shd w:fill="ffffff" w:val="clear"/>
        <w:spacing w:after="101" w:line="240" w:lineRule="auto"/>
        <w:ind w:hanging="79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Free translation. </w:t>
      </w:r>
    </w:p>
    <w:p w:rsidR="00000000" w:rsidDel="00000000" w:rsidP="00000000" w:rsidRDefault="00000000" w:rsidRPr="00000000" w14:paraId="0000002A">
      <w:pPr>
        <w:shd w:fill="ffffff" w:val="clear"/>
        <w:spacing w:after="101" w:line="240" w:lineRule="auto"/>
        <w:ind w:hanging="79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Notes added by AMANAC:</w:t>
      </w:r>
    </w:p>
    <w:p w:rsidR="00000000" w:rsidDel="00000000" w:rsidP="00000000" w:rsidRDefault="00000000" w:rsidRPr="00000000" w14:paraId="0000002B">
      <w:pPr>
        <w:shd w:fill="ffffff" w:val="clear"/>
        <w:spacing w:after="101" w:line="240" w:lineRule="auto"/>
        <w:ind w:hanging="79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CAAT = </w:t>
      </w:r>
      <w:r w:rsidDel="00000000" w:rsidR="00000000" w:rsidRPr="00000000">
        <w:rPr>
          <w:rFonts w:ascii="Arial" w:cs="Arial" w:eastAsia="Arial" w:hAnsi="Arial"/>
          <w:color w:val="000000"/>
          <w:sz w:val="24"/>
          <w:szCs w:val="24"/>
          <w:highlight w:val="white"/>
          <w:rtl w:val="0"/>
        </w:rPr>
        <w:t xml:space="preserve">Código Alfanumérico Armonizado del Transportista</w:t>
      </w:r>
      <w:r w:rsidDel="00000000" w:rsidR="00000000" w:rsidRPr="00000000">
        <w:rPr>
          <w:rFonts w:ascii="Arial" w:cs="Arial" w:eastAsia="Arial" w:hAnsi="Arial"/>
          <w:color w:val="000000"/>
          <w:sz w:val="21"/>
          <w:szCs w:val="21"/>
          <w:highlight w:val="white"/>
          <w:rtl w:val="0"/>
        </w:rPr>
        <w:t xml:space="preserve"> </w:t>
      </w:r>
      <w:r w:rsidDel="00000000" w:rsidR="00000000" w:rsidRPr="00000000">
        <w:rPr>
          <w:rFonts w:ascii="Arial" w:cs="Arial" w:eastAsia="Arial" w:hAnsi="Arial"/>
          <w:color w:val="2f2f2f"/>
          <w:sz w:val="24"/>
          <w:szCs w:val="24"/>
          <w:rtl w:val="0"/>
        </w:rPr>
        <w:t xml:space="preserve">(Mexican SCAC equivalent).</w:t>
      </w:r>
      <w:r w:rsidDel="00000000" w:rsidR="00000000" w:rsidRPr="00000000">
        <w:rPr>
          <w:rtl w:val="0"/>
        </w:rPr>
      </w:r>
    </w:p>
    <w:sdt>
      <w:sdtPr>
        <w:tag w:val="goog_rdk_1"/>
      </w:sdtPr>
      <w:sdtContent>
        <w:p w:rsidR="00000000" w:rsidDel="00000000" w:rsidP="00000000" w:rsidRDefault="00000000" w:rsidRPr="00000000" w14:paraId="0000002C">
          <w:pPr>
            <w:shd w:fill="ffffff" w:val="clear"/>
            <w:spacing w:after="101" w:line="240" w:lineRule="auto"/>
            <w:ind w:hanging="792"/>
            <w:jc w:val="both"/>
            <w:rPr>
              <w:ins w:author="José Cristián Bennett Lira" w:id="0" w:date="2020-09-25T10:29:00Z"/>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SAT = Servicio de Administración Tributaria (Mexican Tax authority).</w:t>
          </w:r>
          <w:sdt>
            <w:sdtPr>
              <w:tag w:val="goog_rdk_0"/>
            </w:sdtPr>
            <w:sdtContent>
              <w:ins w:author="José Cristián Bennett Lira" w:id="0" w:date="2020-09-25T10:29:00Z">
                <w:r w:rsidDel="00000000" w:rsidR="00000000" w:rsidRPr="00000000">
                  <w:rPr>
                    <w:rtl w:val="0"/>
                  </w:rPr>
                </w:r>
              </w:ins>
            </w:sdtContent>
          </w:sdt>
        </w:p>
      </w:sdtContent>
    </w:sdt>
    <w:p w:rsidR="00000000" w:rsidDel="00000000" w:rsidP="00000000" w:rsidRDefault="00000000" w:rsidRPr="00000000" w14:paraId="0000002D">
      <w:pPr>
        <w:shd w:fill="ffffff" w:val="clear"/>
        <w:spacing w:after="101" w:line="240" w:lineRule="auto"/>
        <w:ind w:hanging="792"/>
        <w:jc w:val="both"/>
        <w:rPr>
          <w:rFonts w:ascii="Arial" w:cs="Arial" w:eastAsia="Arial" w:hAnsi="Arial"/>
          <w:color w:val="2f2f2f"/>
          <w:sz w:val="24"/>
          <w:szCs w:val="24"/>
        </w:rPr>
      </w:pPr>
      <w:r w:rsidDel="00000000" w:rsidR="00000000" w:rsidRPr="00000000">
        <w:rPr>
          <w:rFonts w:ascii="Arial" w:cs="Arial" w:eastAsia="Arial" w:hAnsi="Arial"/>
          <w:color w:val="2f2f2f"/>
          <w:sz w:val="24"/>
          <w:szCs w:val="24"/>
          <w:rtl w:val="0"/>
        </w:rPr>
        <w:t xml:space="preserve">RFC = Registro Federal de Contribuyentes (taxpayer's number/tax ID).</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4982"/>
  </w:style>
  <w:style w:type="paragraph" w:styleId="Ttulo1">
    <w:name w:val="heading 1"/>
    <w:basedOn w:val="Normal"/>
    <w:link w:val="Ttulo1Car"/>
    <w:uiPriority w:val="9"/>
    <w:qFormat w:val="1"/>
    <w:rsid w:val="002351D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2351DA"/>
    <w:rPr>
      <w:rFonts w:ascii="Times New Roman" w:cs="Times New Roman" w:eastAsia="Times New Roman" w:hAnsi="Times New Roman"/>
      <w:b w:val="1"/>
      <w:bCs w:val="1"/>
      <w:kern w:val="36"/>
      <w:sz w:val="48"/>
      <w:szCs w:val="48"/>
      <w:lang w:eastAsia="es-ES"/>
    </w:rPr>
  </w:style>
  <w:style w:type="paragraph" w:styleId="Textodeglobo">
    <w:name w:val="Balloon Text"/>
    <w:basedOn w:val="Normal"/>
    <w:link w:val="TextodegloboCar"/>
    <w:uiPriority w:val="99"/>
    <w:semiHidden w:val="1"/>
    <w:unhideWhenUsed w:val="1"/>
    <w:rsid w:val="00CF1CFB"/>
    <w:pPr>
      <w:spacing w:after="0"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CF1CFB"/>
    <w:rPr>
      <w:rFonts w:ascii="Times New Roman" w:cs="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guee.es/ingles-espanol/traduccion/fortuitous+event.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FDLTiMQynygi7y3LTYCJSnJs4w==">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2020-09-28T18:23:00Z</dcterms:created>
  <dc:creator>Alberto.Campos</dc:creator>
</cp:coreProperties>
</file>