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517E6B" w:rsidRPr="003131B1" w:rsidTr="0008363C">
        <w:trPr>
          <w:trHeight w:val="870"/>
        </w:trPr>
        <w:tc>
          <w:tcPr>
            <w:tcW w:w="9450" w:type="dxa"/>
          </w:tcPr>
          <w:p w:rsidR="00517E6B" w:rsidRPr="003131B1" w:rsidRDefault="001855F2" w:rsidP="00517E6B">
            <w:pPr>
              <w:spacing w:after="0" w:line="240" w:lineRule="auto"/>
              <w:jc w:val="center"/>
              <w:rPr>
                <w:b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60"/>
                <w:szCs w:val="20"/>
                <w:lang w:val="es-MX"/>
              </w:rPr>
              <w:t>Apéndice P</w:t>
            </w:r>
          </w:p>
        </w:tc>
      </w:tr>
    </w:tbl>
    <w:p w:rsidR="00517E6B" w:rsidRPr="003131B1" w:rsidRDefault="00517E6B" w:rsidP="00517E6B">
      <w:pPr>
        <w:rPr>
          <w:b/>
          <w:lang w:val="es-MX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010"/>
      </w:tblGrid>
      <w:tr w:rsidR="00517E6B" w:rsidRPr="003131B1" w:rsidTr="0008363C">
        <w:trPr>
          <w:trHeight w:val="780"/>
        </w:trPr>
        <w:tc>
          <w:tcPr>
            <w:tcW w:w="8010" w:type="dxa"/>
          </w:tcPr>
          <w:p w:rsidR="00517E6B" w:rsidRPr="003131B1" w:rsidRDefault="00517E6B" w:rsidP="00517E6B">
            <w:pPr>
              <w:pStyle w:val="Textoindependiente"/>
              <w:rPr>
                <w:lang w:val="es-MX"/>
              </w:rPr>
            </w:pPr>
            <w:r w:rsidRPr="003131B1">
              <w:rPr>
                <w:lang w:val="es-MX"/>
              </w:rPr>
              <w:t xml:space="preserve">Este apéndice provee un listado completo de </w:t>
            </w:r>
            <w:bookmarkStart w:id="0" w:name="_GoBack"/>
            <w:r w:rsidRPr="003131B1">
              <w:rPr>
                <w:lang w:val="es-MX"/>
              </w:rPr>
              <w:t>códigos que identifican a la entidad organizacional, un lugar físico, una propiedad o un individuo</w:t>
            </w:r>
            <w:bookmarkEnd w:id="0"/>
          </w:p>
          <w:p w:rsidR="00517E6B" w:rsidRPr="003131B1" w:rsidRDefault="00517E6B" w:rsidP="00517E6B">
            <w:pPr>
              <w:pStyle w:val="Textoindependiente"/>
              <w:rPr>
                <w:lang w:val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6609"/>
            </w:tblGrid>
            <w:tr w:rsidR="003131B1" w:rsidRPr="003131B1" w:rsidTr="00B1378A">
              <w:trPr>
                <w:trHeight w:val="383"/>
              </w:trPr>
              <w:tc>
                <w:tcPr>
                  <w:tcW w:w="7656" w:type="dxa"/>
                  <w:gridSpan w:val="2"/>
                  <w:shd w:val="clear" w:color="auto" w:fill="C9C9C9" w:themeFill="accent3" w:themeFillTint="99"/>
                </w:tcPr>
                <w:p w:rsidR="003131B1" w:rsidRPr="003131B1" w:rsidRDefault="003131B1" w:rsidP="003131B1">
                  <w:pPr>
                    <w:pStyle w:val="Ttulo6"/>
                    <w:outlineLvl w:val="5"/>
                    <w:rPr>
                      <w:lang w:val="es-MX"/>
                    </w:rPr>
                  </w:pPr>
                  <w:r w:rsidRPr="003131B1">
                    <w:rPr>
                      <w:lang w:val="es-MX"/>
                    </w:rPr>
                    <w:t>Códigos de Identificación</w:t>
                  </w:r>
                </w:p>
              </w:tc>
            </w:tr>
            <w:tr w:rsidR="003131B1" w:rsidRPr="003131B1" w:rsidTr="003131B1">
              <w:trPr>
                <w:trHeight w:val="383"/>
              </w:trPr>
              <w:tc>
                <w:tcPr>
                  <w:tcW w:w="1047" w:type="dxa"/>
                  <w:shd w:val="clear" w:color="auto" w:fill="C9C9C9" w:themeFill="accent3" w:themeFillTint="99"/>
                </w:tcPr>
                <w:p w:rsidR="003131B1" w:rsidRPr="003131B1" w:rsidRDefault="003131B1" w:rsidP="003131B1">
                  <w:pPr>
                    <w:pStyle w:val="Ttulo6"/>
                    <w:outlineLvl w:val="5"/>
                    <w:rPr>
                      <w:lang w:val="es-MX"/>
                    </w:rPr>
                  </w:pPr>
                  <w:r w:rsidRPr="003131B1">
                    <w:rPr>
                      <w:lang w:val="es-MX"/>
                    </w:rPr>
                    <w:t>Código</w:t>
                  </w:r>
                </w:p>
              </w:tc>
              <w:tc>
                <w:tcPr>
                  <w:tcW w:w="6609" w:type="dxa"/>
                  <w:shd w:val="clear" w:color="auto" w:fill="C9C9C9" w:themeFill="accent3" w:themeFillTint="99"/>
                </w:tcPr>
                <w:p w:rsidR="003131B1" w:rsidRPr="003131B1" w:rsidRDefault="003131B1" w:rsidP="003131B1">
                  <w:pPr>
                    <w:pStyle w:val="Ttulo6"/>
                    <w:outlineLvl w:val="5"/>
                    <w:rPr>
                      <w:lang w:val="es-MX"/>
                    </w:rPr>
                  </w:pPr>
                  <w:r w:rsidRPr="003131B1">
                    <w:rPr>
                      <w:lang w:val="es-MX"/>
                    </w:rPr>
                    <w:t>Puertos por país</w:t>
                  </w:r>
                </w:p>
              </w:tc>
            </w:tr>
            <w:tr w:rsidR="00517E6B" w:rsidRPr="001855F2" w:rsidTr="003131B1">
              <w:trPr>
                <w:trHeight w:val="383"/>
              </w:trPr>
              <w:tc>
                <w:tcPr>
                  <w:tcW w:w="1047" w:type="dxa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 xml:space="preserve">TIN: </w:t>
                  </w:r>
                </w:p>
              </w:tc>
              <w:tc>
                <w:tcPr>
                  <w:tcW w:w="6609" w:type="dxa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Importador/Exportador con RFC vigente (Obligatorio)</w:t>
                  </w:r>
                </w:p>
              </w:tc>
            </w:tr>
            <w:tr w:rsidR="00517E6B" w:rsidRPr="003131B1" w:rsidTr="003131B1">
              <w:trPr>
                <w:trHeight w:val="286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AEE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Autoridad portuaria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AP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Cuenta de la parte de origen</w:t>
                  </w:r>
                </w:p>
              </w:tc>
            </w:tr>
            <w:tr w:rsidR="00517E6B" w:rsidRPr="001855F2" w:rsidTr="003131B1">
              <w:trPr>
                <w:trHeight w:val="286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AQ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Cuenta de la parte de destino</w:t>
                  </w:r>
                </w:p>
              </w:tc>
            </w:tr>
            <w:tr w:rsidR="00517E6B" w:rsidRPr="003131B1" w:rsidTr="003131B1">
              <w:trPr>
                <w:trHeight w:val="286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B5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Empresa filial</w:t>
                  </w:r>
                </w:p>
              </w:tc>
            </w:tr>
            <w:tr w:rsidR="00517E6B" w:rsidRPr="003131B1" w:rsidTr="003131B1">
              <w:trPr>
                <w:trHeight w:val="286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BK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Banco</w:t>
                  </w:r>
                </w:p>
              </w:tc>
            </w:tr>
            <w:tr w:rsidR="00517E6B" w:rsidRPr="001855F2" w:rsidTr="003131B1">
              <w:trPr>
                <w:trHeight w:val="286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BKP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Reserva del espacio de la carga para el embarque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BN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Beneficiario principal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BT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1855F2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>Facturado</w:t>
                  </w:r>
                  <w:proofErr w:type="spellEnd"/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a (Bill-to-Party)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BY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Comprador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Buying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Purchaser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C1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a cargo de la mercancía no.1 (In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Care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no. 1)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C2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a cargo de la mercancía no.2 (In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Care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no. 2)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CA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Transportista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Carrier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CB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Agente aduanal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Customs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Broker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) 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CD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Emisor del cuaderno (Carnet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Issuer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) 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CE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Consignatario (para recibir correo o pequeños paquetes)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Consignee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(To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mail and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small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parcels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CF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Consignatario (para recibir grandes paquetes o carga)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Consignee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(To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large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parcels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and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freight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CG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Subsidiaria/ división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Subsidiary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/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Division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CI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Emisor del cuaderno (Carnet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Issuer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CJ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Punto de Procesamiento automático de datos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Automated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Data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Processing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(ADP)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point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CL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Ubicación de los contenedores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Container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Location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CN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Consignatario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Consignee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CQ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Oficina corporativa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Corporate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Office)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CR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Compañía de retorno de contenedores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Container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Return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Company)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CS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Consolidador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Consolidator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CV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Convertidor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Converter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DS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Despachador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Dispatcher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DA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Dirección de entrega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Delivery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Address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DB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Distribuidor de la marca (Distributor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Branch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DC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transportista de destino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Destination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Carrier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DF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Autorización de ubicación de disposición de material (Material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Disposition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Authorization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lastRenderedPageBreak/>
                    <w:t>DH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Haciendo negocios como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Doing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Business As)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DM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Complejo de correo postal de arribo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Destination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Mail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Facility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DR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Complejo de arribo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Destination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Drayman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DS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Distribuidor (Distributor)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DT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Destino final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Destination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Terminal)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DU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Distribuidor de reventa (Resale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Dealer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DV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División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Division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DW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Maquilador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Downstream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DX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Destilador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Distiller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EH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Exhibidor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Exhibitor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EV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Agente de ventas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Selling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Agent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EX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Exportador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Exporter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FN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Nombre de llenado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Filer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Name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FQ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Nombre del muelle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Pier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Name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FS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Calendario final de destino (Final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Scheduled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Destination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FW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Operador multimodal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Forwarder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HW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Procesador de residuos peligrosos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Designated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Hazardous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Waste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Facility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HX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Transportador de residuos peligrosos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Transporter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Hazardous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Waste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I1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interesada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Interested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IC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Consignatario intermediario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Intermediate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Consignee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IF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Operador multimodal internacional (International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Freight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Forwarder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IK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Transportista intermediario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Intermediate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Carrier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IM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Importador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Importer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J3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Asistente del Agente aduanal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Broker’s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Assistant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J6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1855F2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>Poder</w:t>
                  </w:r>
                  <w:proofErr w:type="spellEnd"/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judicial (Power of Attorney)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JV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Dueño conjunto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Joint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Owner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JW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Inversor conjunto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Joint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Venture)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LA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 Apoderado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Attorney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LL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Ubicación de la carga (Exportación)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MA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Ultima parte a quien está destinada la carga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whom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Item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ultimately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intended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MC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Motor del transportista (Motor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Carrier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MF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Fabricante de los bienes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Manufacturer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Goods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MO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Liberación del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dryman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Release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Drayman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MQ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Ubicación de medición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Metering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Location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N1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Persona a notificar no. 1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Notify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no. 1)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N2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Persona a notificar no. 2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Notify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no. 2)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OB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Ordenado por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Ordered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by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OO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Orden de transportación (orden del que envía)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Order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shippers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orders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)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Transportation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OP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Operador de la propiedad o unidad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Operator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Property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Unit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OR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Dryman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de origen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Origin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Drayman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OW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Dueño de la propiedad o unidad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Owner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Property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Unit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OY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Dueño del vehículo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Owner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of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Vehicle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PE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 quien se paga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Payee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lastRenderedPageBreak/>
                    <w:t>PF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recibe la nota de carga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Freight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Bill)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PJ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recibe la correspondencia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Correspondence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PK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recibe copia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Copy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PL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recibe orden de compra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Purchase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Order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PM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recibe memo de la factura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Paper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Memo of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Invoice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PN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recibe notificación de envió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Shipping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Notice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PO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recibe factura sobre bienes y servicios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Invoice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Goods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Services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PR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Pagador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Payer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PU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en la zona de recolección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at Pick-up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location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PW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Dirección de recolección (Pick Up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Address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RD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Rampa intermodal de destino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Destination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Intermodal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Ramp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RO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rampa original intermodal (Original Intermodal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Ramp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SD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1855F2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>vendido</w:t>
                  </w:r>
                  <w:proofErr w:type="spellEnd"/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a </w:t>
                  </w:r>
                  <w:proofErr w:type="spellStart"/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>enviado</w:t>
                  </w:r>
                  <w:proofErr w:type="spellEnd"/>
                  <w:r w:rsidRPr="001855F2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a (Sold to Ship to)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SE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vendedor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Selling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SF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Enviado desde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Ship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from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SH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Remitente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Shipper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SM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recibe manifiesto de carga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Receive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Shipping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Manifest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SNP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a notificar secundaria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Secondary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Notify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Party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SO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Vendido 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Sold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SP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Parte que llena la orden del remitente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Part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Filling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Shipper’s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Order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SQ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Servicio legal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Service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Bureau)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SS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Compañía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Steamship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Steamship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Company)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ST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Enviado a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Ship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to)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SU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Fabricante/ Proveedor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Supplier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/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Manufacturer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T3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Ubicación final (Terminal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Location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T4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Punto de transferencia (Transfer Point)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T6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Operador final (Terminal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Operator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1855F2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TIN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Número de identificación fiscal mexicano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Mexican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taxpayer’s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ID)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TR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Terminal (Terminal)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TT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Transferir a (Transfer to)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UC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Consignatario final (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Ultimate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</w:t>
                  </w:r>
                  <w:proofErr w:type="spellStart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Consignee</w:t>
                  </w:r>
                  <w:proofErr w:type="spellEnd"/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>)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V1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Asegurado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WH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Bodega/Recinto fiscalizado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XR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Agente Aduanal mexicano</w:t>
                  </w:r>
                </w:p>
              </w:tc>
            </w:tr>
            <w:tr w:rsidR="00517E6B" w:rsidRPr="003131B1" w:rsidTr="003131B1">
              <w:trPr>
                <w:trHeight w:val="275"/>
              </w:trPr>
              <w:tc>
                <w:tcPr>
                  <w:tcW w:w="1047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b/>
                      <w:szCs w:val="20"/>
                      <w:lang w:val="es-MX"/>
                    </w:rPr>
                    <w:t>ZR</w:t>
                  </w:r>
                </w:p>
              </w:tc>
              <w:tc>
                <w:tcPr>
                  <w:tcW w:w="6609" w:type="dxa"/>
                  <w:vAlign w:val="bottom"/>
                </w:tcPr>
                <w:p w:rsidR="00517E6B" w:rsidRPr="003131B1" w:rsidRDefault="00517E6B" w:rsidP="003131B1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</w:pPr>
                  <w:r w:rsidRPr="003131B1">
                    <w:rPr>
                      <w:rFonts w:ascii="Times New Roman" w:eastAsia="Times New Roman" w:hAnsi="Times New Roman" w:cs="Times New Roman"/>
                      <w:szCs w:val="20"/>
                      <w:lang w:val="es-MX"/>
                    </w:rPr>
                    <w:t xml:space="preserve"> Punto de carga suelta.</w:t>
                  </w:r>
                </w:p>
              </w:tc>
            </w:tr>
          </w:tbl>
          <w:p w:rsidR="00517E6B" w:rsidRPr="003131B1" w:rsidRDefault="00517E6B" w:rsidP="00517E6B">
            <w:pPr>
              <w:pStyle w:val="Textoindependiente"/>
              <w:rPr>
                <w:b/>
                <w:lang w:val="es-MX"/>
              </w:rPr>
            </w:pPr>
          </w:p>
        </w:tc>
      </w:tr>
    </w:tbl>
    <w:p w:rsidR="003B326C" w:rsidRPr="003131B1" w:rsidRDefault="003B326C">
      <w:pPr>
        <w:rPr>
          <w:lang w:val="es-MX"/>
        </w:rPr>
      </w:pPr>
    </w:p>
    <w:p w:rsidR="003B326C" w:rsidRPr="003131B1" w:rsidRDefault="003B326C">
      <w:pPr>
        <w:rPr>
          <w:lang w:val="es-MX"/>
        </w:rPr>
      </w:pPr>
    </w:p>
    <w:sectPr w:rsidR="003B326C" w:rsidRPr="003131B1" w:rsidSect="003B3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5F"/>
    <w:rsid w:val="001855F2"/>
    <w:rsid w:val="003131B1"/>
    <w:rsid w:val="003B326C"/>
    <w:rsid w:val="00517E6B"/>
    <w:rsid w:val="00700C0C"/>
    <w:rsid w:val="00BB285F"/>
    <w:rsid w:val="00F81EF9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42C73-EAA9-4C6C-955C-CA2B28F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17E6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Ttulo6">
    <w:name w:val="heading 6"/>
    <w:basedOn w:val="Normal"/>
    <w:next w:val="Normal"/>
    <w:link w:val="Ttulo6Car"/>
    <w:qFormat/>
    <w:rsid w:val="003131B1"/>
    <w:pPr>
      <w:keepNext/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pacing w:val="-2"/>
      <w:sz w:val="24"/>
      <w:szCs w:val="20"/>
    </w:rPr>
  </w:style>
  <w:style w:type="paragraph" w:styleId="Ttulo7">
    <w:name w:val="heading 7"/>
    <w:basedOn w:val="Normal"/>
    <w:next w:val="Normal"/>
    <w:link w:val="Ttulo7Car"/>
    <w:qFormat/>
    <w:rsid w:val="003131B1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2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26C"/>
    <w:pPr>
      <w:spacing w:after="0" w:line="240" w:lineRule="auto"/>
      <w:ind w:left="720"/>
    </w:pPr>
    <w:rPr>
      <w:rFonts w:ascii="Calibri" w:hAnsi="Calibri" w:cs="Calibri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517E6B"/>
    <w:rPr>
      <w:rFonts w:ascii="Times New Roman" w:eastAsia="Times New Roman" w:hAnsi="Times New Roman" w:cs="Times New Roman"/>
      <w:b/>
      <w:sz w:val="40"/>
      <w:szCs w:val="20"/>
    </w:rPr>
  </w:style>
  <w:style w:type="paragraph" w:styleId="Textoindependiente">
    <w:name w:val="Body Text"/>
    <w:basedOn w:val="Normal"/>
    <w:link w:val="TextoindependienteCar"/>
    <w:rsid w:val="00517E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17E6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table" w:styleId="Tablaconcuadrcula">
    <w:name w:val="Table Grid"/>
    <w:basedOn w:val="Tablanormal"/>
    <w:uiPriority w:val="39"/>
    <w:rsid w:val="0051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3131B1"/>
    <w:rPr>
      <w:rFonts w:ascii="Times New Roman" w:eastAsia="Times New Roman" w:hAnsi="Times New Roman" w:cs="Times New Roman"/>
      <w:b/>
      <w:spacing w:val="-2"/>
      <w:sz w:val="24"/>
      <w:szCs w:val="20"/>
    </w:rPr>
  </w:style>
  <w:style w:type="character" w:customStyle="1" w:styleId="Ttulo6Car">
    <w:name w:val="Título 6 Car"/>
    <w:basedOn w:val="Fuentedeprrafopredeter"/>
    <w:link w:val="Ttulo6"/>
    <w:rsid w:val="003131B1"/>
    <w:rPr>
      <w:rFonts w:ascii="Times New Roman" w:eastAsia="Times New Roman" w:hAnsi="Times New Roman" w:cs="Times New Roman"/>
      <w:b/>
      <w:i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1E81-9CE7-4436-9BA5-DE859F20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Michel Alcala Diaz</dc:creator>
  <cp:keywords/>
  <dc:description/>
  <cp:lastModifiedBy>Armando Michel Alcala Diaz</cp:lastModifiedBy>
  <cp:revision>2</cp:revision>
  <dcterms:created xsi:type="dcterms:W3CDTF">2020-09-15T15:45:00Z</dcterms:created>
  <dcterms:modified xsi:type="dcterms:W3CDTF">2020-09-15T15:45:00Z</dcterms:modified>
</cp:coreProperties>
</file>